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/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ШКОЛА № 3»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11"/>
        <w:gridCol w:w="4602"/>
      </w:tblGrid>
      <w:tr>
        <w:trPr>
          <w:trHeight w:val="1274"/>
        </w:trPr>
        <w:tc>
          <w:tcPr>
            <w:tcW w:w="461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школы  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августа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1</w:t>
            </w:r>
            <w:r/>
          </w:p>
        </w:tc>
        <w:tc>
          <w:tcPr>
            <w:tcW w:w="460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УТВЕРЖДЕНА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приказом по МБОУ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«Средняя школа № 3» 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31 августа 2023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/>
          </w:p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</w:tbl>
    <w:p>
      <w:pPr>
        <w:ind w:left="-284"/>
        <w:spacing w:before="6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284"/>
        <w:spacing w:before="6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-709" w:hanging="284"/>
        <w:jc w:val="center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/>
          <w:b/>
          <w:sz w:val="28"/>
          <w:szCs w:val="28"/>
        </w:rPr>
        <w:t xml:space="preserve">общеразвивающая</w:t>
      </w:r>
      <w:r>
        <w:rPr>
          <w:rFonts w:ascii="Times New Roman" w:hAnsi="Times New Roman"/>
          <w:b/>
          <w:sz w:val="28"/>
          <w:szCs w:val="28"/>
        </w:rPr>
        <w:t xml:space="preserve"> программа</w:t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физкультурно</w:t>
      </w:r>
      <w:r>
        <w:rPr>
          <w:rFonts w:ascii="Times New Roman" w:hAnsi="Times New Roman"/>
          <w:b/>
          <w:sz w:val="28"/>
          <w:szCs w:val="28"/>
        </w:rPr>
        <w:t xml:space="preserve"> – спортивной</w:t>
      </w:r>
      <w:r>
        <w:rPr>
          <w:rFonts w:ascii="Times New Roman" w:hAnsi="Times New Roman"/>
          <w:b/>
          <w:sz w:val="28"/>
          <w:szCs w:val="28"/>
        </w:rPr>
        <w:t xml:space="preserve"> направленности</w:t>
      </w:r>
      <w:r/>
    </w:p>
    <w:p>
      <w:pPr>
        <w:pStyle w:val="9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Настольный</w:t>
      </w:r>
      <w:r>
        <w:rPr>
          <w:rFonts w:ascii="Times New Roman" w:hAnsi="Times New Roman"/>
          <w:b/>
          <w:sz w:val="28"/>
          <w:szCs w:val="28"/>
        </w:rPr>
        <w:t xml:space="preserve"> теннис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учащихся: 7-16</w:t>
      </w:r>
      <w:r>
        <w:rPr>
          <w:rFonts w:ascii="Times New Roman" w:hAnsi="Times New Roman"/>
          <w:sz w:val="28"/>
          <w:szCs w:val="28"/>
        </w:rPr>
        <w:t xml:space="preserve">  лет</w:t>
      </w:r>
      <w:r/>
    </w:p>
    <w:p>
      <w:pPr>
        <w:pStyle w:val="9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реализации:</w:t>
      </w:r>
      <w:r>
        <w:rPr>
          <w:rFonts w:ascii="Times New Roman" w:hAnsi="Times New Roman"/>
          <w:sz w:val="28"/>
          <w:szCs w:val="28"/>
        </w:rPr>
        <w:t xml:space="preserve"> 1 год</w:t>
      </w:r>
      <w:r/>
    </w:p>
    <w:p>
      <w:pPr>
        <w:jc w:val="right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right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right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right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9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Автор-составитель:</w:t>
      </w:r>
      <w:r/>
    </w:p>
    <w:p>
      <w:pPr>
        <w:pStyle w:val="9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Страшников</w:t>
      </w:r>
      <w:r>
        <w:rPr>
          <w:rFonts w:ascii="Times New Roman" w:hAnsi="Times New Roman"/>
          <w:sz w:val="28"/>
          <w:szCs w:val="28"/>
        </w:rPr>
        <w:t xml:space="preserve"> Вячеслав Георгиевич</w:t>
      </w:r>
      <w:r/>
    </w:p>
    <w:p>
      <w:pPr>
        <w:pStyle w:val="9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1"/>
        <w:jc w:val="right"/>
      </w:pPr>
      <w:r/>
      <w:r/>
    </w:p>
    <w:p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Рославль</w:t>
      </w:r>
      <w:r/>
    </w:p>
    <w:p>
      <w:pPr>
        <w:jc w:val="center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год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/>
    </w:p>
    <w:p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выявление и развитие способностей детей, приобретение ими определенных знаний и умений. Она ориентирована на развитие компетентности в данной области, формирование навыков на уровне практического применения.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color w:val="000000"/>
          <w:sz w:val="28"/>
          <w:szCs w:val="28"/>
        </w:rPr>
        <w:t xml:space="preserve">Новизна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программы в том, что она учитывает специфи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ку дополнительного образования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ентарь, делает этот вид спорта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очень популярным среди школьников и молодёжи, являясь увлекательной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спортивной игрой, представляющей собой эффективное средство физического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воспитания и всестороннего физического развития.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 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color w:val="000000"/>
          <w:sz w:val="28"/>
          <w:szCs w:val="28"/>
        </w:rPr>
        <w:t xml:space="preserve">Актуальность программы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Выбор спортив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ной игры – настольный теннис -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определился популярностью ее в детской среде, доступность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ю, широкой распространенностью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учебно-материальной базой школы и, естественно, подготовленностью самого учителя.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здоровья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мобилизовывать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 Высокий эмоциональный подъем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поддерживает постоянную активность и интерес к игре. 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Эти 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собенности настольного тенниса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создают благоприятные условия для воспитания 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обучающихся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Формируя на основе вышеперечисленного 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ма дополнительного образования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«Настольный теннис», направленная на удовлетворение потребностей в движении, оздоровлении и поддержании функциональности организма.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ab/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993" w:right="850" w:bottom="993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Обучающие:</w:t>
      </w:r>
      <w:r/>
    </w:p>
    <w:p>
      <w:pPr>
        <w:numPr>
          <w:ilvl w:val="0"/>
          <w:numId w:val="27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дать необходимые дополнительные знания в области раздела физической культуры и спорта – спортивные игры (настольный теннис); </w:t>
      </w:r>
      <w:r/>
    </w:p>
    <w:p>
      <w:pPr>
        <w:numPr>
          <w:ilvl w:val="0"/>
          <w:numId w:val="27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регулировать свою физическую нагрузку;</w:t>
      </w:r>
      <w:r/>
    </w:p>
    <w:p>
      <w:pPr>
        <w:numPr>
          <w:ilvl w:val="0"/>
          <w:numId w:val="27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обучить учащихся технике и тактике настольного тенниса.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</w:t>
      </w:r>
      <w:r/>
    </w:p>
    <w:p>
      <w:pPr>
        <w:numPr>
          <w:ilvl w:val="0"/>
          <w:numId w:val="28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реакции;</w:t>
      </w:r>
      <w:r/>
    </w:p>
    <w:p>
      <w:pPr>
        <w:numPr>
          <w:ilvl w:val="0"/>
          <w:numId w:val="28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развивать двигательные способности посредством игры в теннис;</w:t>
      </w:r>
      <w:r/>
    </w:p>
    <w:p>
      <w:pPr>
        <w:numPr>
          <w:ilvl w:val="0"/>
          <w:numId w:val="28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формировать навыки самостоятельных занятий физическими упражнениями во время игрового досуга;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</w:t>
      </w:r>
      <w:r/>
    </w:p>
    <w:p>
      <w:pPr>
        <w:pStyle w:val="909"/>
        <w:numPr>
          <w:ilvl w:val="0"/>
          <w:numId w:val="29"/>
        </w:numPr>
        <w:ind w:left="360"/>
        <w:jc w:val="both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способствовать развитию социальной активности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: воспитывать чувство самостоятельности, ответственности; </w:t>
      </w:r>
      <w:r/>
    </w:p>
    <w:p>
      <w:pPr>
        <w:numPr>
          <w:ilvl w:val="0"/>
          <w:numId w:val="29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воспитывать коммуникабельность, коллективизм, взаимопомощь и взаимовыручку, сохраняя свою индивидуальность;</w:t>
      </w:r>
      <w:r/>
    </w:p>
    <w:p>
      <w:pPr>
        <w:numPr>
          <w:ilvl w:val="0"/>
          <w:numId w:val="29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пропаганда здорового образа жизни, которая ведет к снижению  преступности среди подростков, а также профилактика 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наркозависимости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табакокурения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 алкоголизма;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уровню освоения программа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углублённая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модифицированной,</w:t>
      </w:r>
      <w:r>
        <w:rPr>
          <w:rFonts w:ascii="Times New Roman" w:hAnsi="Times New Roman" w:cs="Times New Roman"/>
          <w:sz w:val="28"/>
          <w:szCs w:val="28"/>
        </w:rPr>
        <w:t xml:space="preserve"> так как она разработана на основе типовых программ  декоративно-прикладной направленности, с учетом использования различных материалов и технологий, а также способствует расширению и повышению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детей.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креативности</w:t>
      </w:r>
      <w:r>
        <w:rPr>
          <w:rFonts w:ascii="Times New Roman" w:hAnsi="Times New Roman" w:cs="Times New Roman"/>
          <w:sz w:val="28"/>
          <w:szCs w:val="28"/>
        </w:rPr>
        <w:t xml:space="preserve"> мышления, формирования личностных качеств.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участвуют дети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предусматриваются индивидуальные занятия, как с одарёнными детьми, так и с отстающими детьми.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занятий: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индивидуально-игровая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соревновательная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освоения программы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 xml:space="preserve">обучения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программе учащиеся должны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numPr>
          <w:ilvl w:val="0"/>
          <w:numId w:val="30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что систематические занятия физическими упражнениями укрепляют здоровье; </w:t>
      </w:r>
      <w:r/>
    </w:p>
    <w:p>
      <w:pPr>
        <w:numPr>
          <w:ilvl w:val="0"/>
          <w:numId w:val="31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правильно распределять свою физическую нагрузку;</w:t>
      </w:r>
      <w:r/>
    </w:p>
    <w:p>
      <w:pPr>
        <w:numPr>
          <w:ilvl w:val="0"/>
          <w:numId w:val="31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правила игры в настольный теннис;</w:t>
      </w:r>
      <w:r/>
    </w:p>
    <w:p>
      <w:pPr>
        <w:numPr>
          <w:ilvl w:val="0"/>
          <w:numId w:val="31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правила охраны труда и поведения на занятиях и в повседневной жизни;</w:t>
      </w:r>
      <w:r/>
    </w:p>
    <w:p>
      <w:pPr>
        <w:numPr>
          <w:ilvl w:val="0"/>
          <w:numId w:val="31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правила проведения соревнований;</w:t>
      </w:r>
      <w:r/>
    </w:p>
    <w:p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уметь: </w:t>
      </w:r>
      <w:r/>
    </w:p>
    <w:p>
      <w:pPr>
        <w:numPr>
          <w:ilvl w:val="0"/>
          <w:numId w:val="32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проводить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специальную разминку для теннисиста</w:t>
      </w:r>
      <w:r/>
    </w:p>
    <w:p>
      <w:pPr>
        <w:numPr>
          <w:ilvl w:val="0"/>
          <w:numId w:val="32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владеют основами техники настольного тенниса;</w:t>
      </w:r>
      <w:r/>
    </w:p>
    <w:p>
      <w:pPr>
        <w:numPr>
          <w:ilvl w:val="0"/>
          <w:numId w:val="32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овладеют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основами судейства в теннисе;</w:t>
      </w:r>
      <w:r/>
    </w:p>
    <w:p>
      <w:pPr>
        <w:numPr>
          <w:ilvl w:val="0"/>
          <w:numId w:val="32"/>
        </w:numPr>
        <w:ind w:left="360"/>
        <w:jc w:val="both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состав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лять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график соревнова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ний в личном зачете и определять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победителя;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 xml:space="preserve">Разовьют следующие качества:</w:t>
      </w:r>
      <w:r/>
    </w:p>
    <w:p>
      <w:pPr>
        <w:numPr>
          <w:ilvl w:val="0"/>
          <w:numId w:val="33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улучшат координацию движений, быстроту реакции и ловкость;</w:t>
      </w:r>
      <w:r/>
    </w:p>
    <w:p>
      <w:pPr>
        <w:numPr>
          <w:ilvl w:val="0"/>
          <w:numId w:val="33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улучшат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общую выносливость организма к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продолжительным физическим нагрузкам;</w:t>
      </w:r>
      <w:r/>
    </w:p>
    <w:p>
      <w:pPr>
        <w:numPr>
          <w:ilvl w:val="0"/>
          <w:numId w:val="33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повысятся адап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тивные возможности организма - противостояние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условиям внешней среды стрессового характера;</w:t>
      </w:r>
      <w:r/>
    </w:p>
    <w:p>
      <w:pPr>
        <w:numPr>
          <w:ilvl w:val="0"/>
          <w:numId w:val="33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коммуникабельность обучающихся в результате коллективных действий.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развитие положительных личностных качеств учащихся (трудолюбия, упорства, настойчивости, умения работать в коллективе, уважение к людям).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универсальных учебных действий (УУД).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задачи, поставленные педагогом;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технологическую последовательность выполнения работы;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оценивать результаты своей деятельности.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 УУД: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проявлять творческие способности;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сенсорные и моторные навыки.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</w:t>
      </w:r>
      <w:r/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работать в коллективе;</w:t>
      </w:r>
      <w:r/>
    </w:p>
    <w:p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индивидуальность и самостоятельность.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навыков </w:t>
      </w:r>
      <w:r>
        <w:rPr>
          <w:rFonts w:ascii="Times New Roman" w:hAnsi="Times New Roman" w:cs="Times New Roman"/>
          <w:sz w:val="28"/>
          <w:szCs w:val="28"/>
        </w:rPr>
        <w:t xml:space="preserve">игры в настольный теннис</w:t>
      </w:r>
      <w:r>
        <w:rPr>
          <w:rFonts w:ascii="Times New Roman" w:hAnsi="Times New Roman" w:cs="Times New Roman"/>
          <w:sz w:val="28"/>
          <w:szCs w:val="28"/>
        </w:rPr>
        <w:t xml:space="preserve">, применения технологий, приемов и методов работы по программе, приобретение опыта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и формы контроля ЗУН учащихся: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Программа предусматривает промежуточную и итоговую аттестацию результатов обучения детей.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 начале года проводится входное тестирование.  Промежуточная аттестация проводится в виде текущего контроля в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течение всего учебного года. Она предусматривает 1 раз в полгода  зачетное занятие - по общей и специальной физической подготовке при выполнении контрольных упражнений, зачетные игры внутри группы, а также участие в районном турнире по настольному теннису.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Итоговая аттест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родителей, с последующим совместным анализом проведенного мероприятия.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Итоговый контроль проводится с целью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определения степени достижения результатов обучения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 получения сведений для совершенствования программы и методов обучения.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Способы проверки ЗУН учащихся:</w:t>
      </w:r>
      <w:r/>
    </w:p>
    <w:p>
      <w:pPr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диагностика;</w:t>
      </w:r>
      <w:r/>
    </w:p>
    <w:p>
      <w:pPr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диагностика;</w:t>
      </w:r>
      <w:r/>
    </w:p>
    <w:p>
      <w:pPr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программы: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олимпиадах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творческих работ и проектов.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программы</w:t>
      </w:r>
      <w:r/>
    </w:p>
    <w:p>
      <w:pPr>
        <w:ind w:firstLine="360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Для занятий по программе требуется: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u w:val="single"/>
        </w:rPr>
        <w:t xml:space="preserve">спортивный школьный зал 9x18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u w:val="single"/>
        </w:rPr>
        <w:t xml:space="preserve">спортивный инвентарь </w:t>
      </w: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u w:val="single"/>
        </w:rPr>
        <w:t xml:space="preserve">и оборудование: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теннисные ракетки 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мячи на каждого обучающегося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набивные мячи 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перекладины для подтягивания в висе – 2 штук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скакалки для прыжков на каждого обучающегося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секундомер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гимнастические скамейки – 3 штук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теннисные столы - 3 штуки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сетки для настольного тенниса – 2 штуки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гимнастические маты – 4 штук</w:t>
      </w:r>
      <w:r/>
    </w:p>
    <w:p>
      <w:pPr>
        <w:numPr>
          <w:ilvl w:val="0"/>
          <w:numId w:val="34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гимнастическая стенка </w:t>
      </w:r>
      <w:r/>
    </w:p>
    <w:p>
      <w:pPr>
        <w:numPr>
          <w:ilvl w:val="0"/>
          <w:numId w:val="34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волейбольный, футбольный, баскетбольный мяч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</w:t>
      </w:r>
      <w:r/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проектор;</w:t>
      </w:r>
      <w:r/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экран;</w:t>
      </w:r>
      <w:r/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– диски;</w:t>
      </w:r>
      <w:r/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магнитофон;</w:t>
      </w:r>
      <w:r/>
    </w:p>
    <w:p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Дидактическое обеспечение программы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Картотека упражнений по настольному теннису (карточки).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Картотека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общеразвивающих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упражнений для разминки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Схемы и плакаты освоения технических приемов в настольном теннисе.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Электронное приложение к «Энциклопедии спорта»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«Правила игры в настольный теннис».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Видеозаписи выступлений учащихся.</w:t>
      </w:r>
      <w:r/>
    </w:p>
    <w:p>
      <w:pPr>
        <w:numPr>
          <w:ilvl w:val="0"/>
          <w:numId w:val="35"/>
        </w:numPr>
        <w:ind w:left="360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«Правила судейства в настольном теннисе».</w:t>
      </w:r>
      <w:r/>
    </w:p>
    <w:p>
      <w:pPr>
        <w:numPr>
          <w:ilvl w:val="0"/>
          <w:numId w:val="35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Регламент проведения турниров по настольному теннису различных уровней.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Санитарно – гигиенические требования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 иметь:</w:t>
      </w:r>
      <w:r/>
    </w:p>
    <w:p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светлое просторное помещение;</w:t>
      </w:r>
      <w:r/>
    </w:p>
    <w:p>
      <w:pPr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осуществляется влажная уборка и проветривание;</w:t>
      </w:r>
      <w:r/>
    </w:p>
    <w:p>
      <w:pPr>
        <w:numPr>
          <w:ilvl w:val="0"/>
          <w:numId w:val="1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наличии имеется аптечка с медикаментами для оказания первой медицинской помощи.</w:t>
      </w:r>
      <w:r/>
    </w:p>
    <w:p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 – овладеть приёмами </w:t>
      </w:r>
      <w:r>
        <w:rPr>
          <w:rFonts w:ascii="Times New Roman" w:hAnsi="Times New Roman" w:cs="Times New Roman"/>
          <w:sz w:val="28"/>
          <w:szCs w:val="28"/>
        </w:rPr>
        <w:t xml:space="preserve">игры в настольный теннис</w:t>
      </w:r>
      <w:r>
        <w:rPr>
          <w:rFonts w:ascii="Times New Roman" w:hAnsi="Times New Roman" w:cs="Times New Roman"/>
          <w:sz w:val="28"/>
          <w:szCs w:val="28"/>
        </w:rPr>
        <w:t xml:space="preserve"> и приобрести хорошие технические навыки.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Обучающие:</w:t>
      </w:r>
      <w:r/>
    </w:p>
    <w:p>
      <w:pPr>
        <w:numPr>
          <w:ilvl w:val="0"/>
          <w:numId w:val="27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дать необходимые дополнительные знания в области раздела физической культуры и спорта – спортивные игры (настольный теннис); </w:t>
      </w:r>
      <w:r/>
    </w:p>
    <w:p>
      <w:pPr>
        <w:numPr>
          <w:ilvl w:val="0"/>
          <w:numId w:val="27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научить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правильно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регулировать свою физическую нагрузку;</w:t>
      </w:r>
      <w:r/>
    </w:p>
    <w:p>
      <w:pPr>
        <w:numPr>
          <w:ilvl w:val="0"/>
          <w:numId w:val="27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обучить учащихся технике и тактике настольного тенниса.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Развивающие:</w:t>
      </w:r>
      <w:r/>
    </w:p>
    <w:p>
      <w:pPr>
        <w:numPr>
          <w:ilvl w:val="0"/>
          <w:numId w:val="28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реакции;</w:t>
      </w:r>
      <w:r/>
    </w:p>
    <w:p>
      <w:pPr>
        <w:numPr>
          <w:ilvl w:val="0"/>
          <w:numId w:val="28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развивать двигательные способности посредством игры в теннис;</w:t>
      </w:r>
      <w:r/>
    </w:p>
    <w:p>
      <w:pPr>
        <w:numPr>
          <w:ilvl w:val="0"/>
          <w:numId w:val="28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формировать навыки самостоятельных занятий физическими упражнениями во время игрового досуга;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</w:t>
      </w:r>
      <w:r/>
    </w:p>
    <w:p>
      <w:pPr>
        <w:pStyle w:val="909"/>
        <w:numPr>
          <w:ilvl w:val="0"/>
          <w:numId w:val="29"/>
        </w:numPr>
        <w:ind w:left="360"/>
        <w:jc w:val="both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способствовать развитию социальной активности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: воспитывать чувство самостоятельности, ответственности; </w:t>
      </w:r>
      <w:r/>
    </w:p>
    <w:p>
      <w:pPr>
        <w:numPr>
          <w:ilvl w:val="0"/>
          <w:numId w:val="29"/>
        </w:numPr>
        <w:ind w:left="360"/>
        <w:jc w:val="both"/>
        <w:spacing w:after="0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воспитывать коммуникабельность, коллективизм, взаимопомощь и взаимовыручку, сохраняя свою индивидуальность;</w:t>
      </w:r>
      <w:r/>
    </w:p>
    <w:p>
      <w:pPr>
        <w:numPr>
          <w:ilvl w:val="0"/>
          <w:numId w:val="29"/>
        </w:numPr>
        <w:ind w:left="360"/>
        <w:spacing w:before="100" w:beforeAutospacing="1" w:after="100" w:afterAutospacing="1" w:line="240" w:lineRule="auto"/>
        <w:rPr>
          <w:rFonts w:ascii="Verdana" w:hAnsi="Verdana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пропаганда здорового образа жизни, которая ведет к снижению  преступности среди подростков, а также профилактика  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наркозависимости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табакокурения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 алкоголизма;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</w:t>
      </w:r>
      <w:r/>
    </w:p>
    <w:p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первого года обучения учащиеся должны: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знать: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/>
    </w:p>
    <w:p>
      <w:pPr>
        <w:pStyle w:val="90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одиночных игр; </w:t>
      </w:r>
      <w:r/>
    </w:p>
    <w:p>
      <w:pPr>
        <w:pStyle w:val="90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об олимпийской системе соревнований; </w:t>
      </w:r>
      <w:r/>
    </w:p>
    <w:p>
      <w:pPr>
        <w:pStyle w:val="90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 выполнения основных ударо</w:t>
      </w:r>
      <w:r>
        <w:rPr>
          <w:rFonts w:ascii="Times New Roman" w:hAnsi="Times New Roman" w:cs="Times New Roman"/>
          <w:sz w:val="28"/>
          <w:szCs w:val="28"/>
        </w:rPr>
        <w:t xml:space="preserve">в (плоский удар, </w:t>
      </w:r>
      <w:r>
        <w:rPr>
          <w:rFonts w:ascii="Times New Roman" w:hAnsi="Times New Roman" w:cs="Times New Roman"/>
          <w:sz w:val="28"/>
          <w:szCs w:val="28"/>
        </w:rPr>
        <w:t xml:space="preserve">кач</w:t>
      </w:r>
      <w:r>
        <w:rPr>
          <w:rFonts w:ascii="Times New Roman" w:hAnsi="Times New Roman" w:cs="Times New Roman"/>
          <w:sz w:val="28"/>
          <w:szCs w:val="28"/>
        </w:rPr>
        <w:t xml:space="preserve">, накат);</w:t>
      </w:r>
      <w:r/>
    </w:p>
    <w:p>
      <w:pPr>
        <w:pStyle w:val="907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развития игры в России.</w:t>
      </w:r>
      <w:r>
        <w:t xml:space="preserve">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уметь: </w:t>
      </w:r>
      <w:r/>
    </w:p>
    <w:p>
      <w:pPr>
        <w:pStyle w:val="907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осно</w:t>
      </w:r>
      <w:r>
        <w:rPr>
          <w:rFonts w:ascii="Times New Roman" w:hAnsi="Times New Roman" w:cs="Times New Roman"/>
          <w:sz w:val="28"/>
          <w:szCs w:val="28"/>
        </w:rPr>
        <w:t xml:space="preserve">вные технические приемы игры; </w:t>
      </w:r>
      <w:r/>
    </w:p>
    <w:p>
      <w:pPr>
        <w:pStyle w:val="907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</w:t>
      </w:r>
      <w:r>
        <w:rPr>
          <w:rFonts w:ascii="Times New Roman" w:hAnsi="Times New Roman" w:cs="Times New Roman"/>
          <w:sz w:val="28"/>
          <w:szCs w:val="28"/>
        </w:rPr>
        <w:t xml:space="preserve">дить одиночные и парные игры; </w:t>
      </w:r>
      <w:r/>
    </w:p>
    <w:p>
      <w:pPr>
        <w:pStyle w:val="907"/>
        <w:numPr>
          <w:ilvl w:val="0"/>
          <w:numId w:val="4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сложные движения (перемещения у стола, удары) с определенной силой и скоростью.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Приобрести навыки:</w:t>
      </w:r>
      <w:r/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 техники некоторых упражнений;</w:t>
      </w:r>
      <w:r/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возрастных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/>
    </w:p>
    <w:p>
      <w:pPr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водных процедур, воздушных, солнечных ванн.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/>
    </w:p>
    <w:tbl>
      <w:tblPr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13"/>
        <w:gridCol w:w="5580"/>
        <w:gridCol w:w="1080"/>
        <w:gridCol w:w="1080"/>
        <w:gridCol w:w="1003"/>
      </w:tblGrid>
      <w:tr>
        <w:trPr/>
        <w:tc>
          <w:tcPr>
            <w:tcW w:w="1713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п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</w:t>
            </w:r>
            <w:r/>
          </w:p>
        </w:tc>
        <w:tc>
          <w:tcPr>
            <w:gridSpan w:val="3"/>
            <w:tcW w:w="3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часов</w:t>
            </w:r>
            <w:r/>
          </w:p>
          <w:p>
            <w:pPr>
              <w:tabs>
                <w:tab w:val="center" w:pos="1473" w:leader="none"/>
                <w:tab w:val="right" w:pos="294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практ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ab/>
              <w:t xml:space="preserve">всего</w:t>
            </w:r>
            <w:r/>
          </w:p>
        </w:tc>
      </w:tr>
      <w:tr>
        <w:trPr/>
        <w:tc>
          <w:tcPr>
            <w:gridSpan w:val="5"/>
            <w:tcW w:w="104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 в курс программы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Введение, техника безопасности, правила дорожного движения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 в России, области, городе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история развития настольного тенниса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Валеология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Лекции о вреде наркомании, токсикомании, алкоголизма и курения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 поведения - залог сохранения здоровья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техники и тактики игры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36,5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47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Хватка ракетки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Игровая стойка у стола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Перемещение у стола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Набивание мяча на ракетке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одной стороной ракетки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- 2-мя сторонами ракетки поочередно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набивание мяча на постоянную и на разную контрастную высоту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Плоский удар (</w:t>
            </w:r>
            <w:r>
              <w:rPr>
                <w:rFonts w:ascii="Times New Roman" w:hAnsi="Times New Roman" w:cs="Times New Roman"/>
                <w:b/>
              </w:rPr>
              <w:t xml:space="preserve">откидка</w:t>
            </w:r>
            <w:r>
              <w:rPr>
                <w:rFonts w:ascii="Times New Roman" w:hAnsi="Times New Roman" w:cs="Times New Roman"/>
                <w:b/>
              </w:rPr>
              <w:t xml:space="preserve">)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слева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перемещение </w:t>
            </w:r>
            <w:r>
              <w:rPr>
                <w:rFonts w:ascii="Times New Roman" w:hAnsi="Times New Roman" w:cs="Times New Roman"/>
              </w:rPr>
              <w:t xml:space="preserve">влево-вправо</w:t>
            </w:r>
            <w:r>
              <w:rPr>
                <w:rFonts w:ascii="Times New Roman" w:hAnsi="Times New Roman" w:cs="Times New Roman"/>
              </w:rPr>
              <w:t xml:space="preserve"> при выполнении плоского удара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“Треугольник” плоским ударом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>
          <w:trHeight w:val="586"/>
        </w:trPr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Подача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плоским ударом без вращения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верхним вращением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 нижним вращением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прием подач плоским ударом, накатом, </w:t>
            </w:r>
            <w:r>
              <w:rPr>
                <w:rFonts w:ascii="Times New Roman" w:hAnsi="Times New Roman" w:cs="Times New Roman"/>
              </w:rPr>
              <w:t xml:space="preserve">качем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Накат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 и слева по диагонали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 и слева по </w:t>
            </w:r>
            <w:r>
              <w:rPr>
                <w:rFonts w:ascii="Times New Roman" w:hAnsi="Times New Roman" w:cs="Times New Roman"/>
              </w:rPr>
              <w:t xml:space="preserve">прямой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“Треугольник” накатом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Кач</w:t>
            </w:r>
            <w:r>
              <w:rPr>
                <w:rFonts w:ascii="Times New Roman" w:hAnsi="Times New Roman" w:cs="Times New Roman"/>
                <w:b/>
              </w:rPr>
              <w:t xml:space="preserve"> (срезка)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 и слева по диагонали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 и слева по </w:t>
            </w:r>
            <w:r>
              <w:rPr>
                <w:rFonts w:ascii="Times New Roman" w:hAnsi="Times New Roman" w:cs="Times New Roman"/>
              </w:rPr>
              <w:t xml:space="preserve">прямой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Атака </w:t>
            </w:r>
            <w:r>
              <w:rPr>
                <w:rFonts w:ascii="Times New Roman" w:hAnsi="Times New Roman" w:cs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</w:rPr>
              <w:t xml:space="preserve">кача</w:t>
            </w:r>
            <w:r>
              <w:rPr>
                <w:rFonts w:ascii="Times New Roman" w:hAnsi="Times New Roman" w:cs="Times New Roman"/>
                <w:b/>
              </w:rPr>
              <w:t xml:space="preserve"> (срезки)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-справа и слева по диагонали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справа и слева по </w:t>
            </w:r>
            <w:r>
              <w:rPr>
                <w:rFonts w:ascii="Times New Roman" w:hAnsi="Times New Roman" w:cs="Times New Roman"/>
              </w:rPr>
              <w:t xml:space="preserve">прямой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один против всех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Методика обучения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Правила игры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правила одиночных игр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олимпийская система соревнований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соревнованиях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Индивидуальная работа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0,5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3,5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Разминка перед занятием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</w:t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нормативов физического развития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</w:t>
            </w:r>
            <w:r/>
          </w:p>
        </w:tc>
      </w:tr>
      <w:tr>
        <w:trPr/>
        <w:tc>
          <w:tcPr>
            <w:tcW w:w="17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55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53</w:t>
            </w:r>
            <w:r/>
          </w:p>
        </w:tc>
        <w:tc>
          <w:tcPr>
            <w:tcW w:w="10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72</w:t>
            </w:r>
            <w:r/>
          </w:p>
        </w:tc>
      </w:tr>
    </w:tbl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360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Введение, техника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Правила внутреннего распорядка, знакомство с программой работы объединения, техника безопасности на занятиях.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и спорт в России. Развитие настольного тенниса в нашем городе, области.</w:t>
      </w:r>
      <w:r>
        <w:rPr>
          <w:rFonts w:ascii="Times New Roman" w:hAnsi="Times New Roman" w:cs="Times New Roman"/>
          <w:sz w:val="28"/>
          <w:szCs w:val="28"/>
        </w:rPr>
        <w:t xml:space="preserve"> Значение занятий физической культурой и спортом для трудовой деятельности и подготовки к защите Родины. История развития настольного тенниса.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Валеология</w:t>
      </w:r>
      <w:r>
        <w:rPr>
          <w:rFonts w:ascii="Times New Roman" w:hAnsi="Times New Roman" w:cs="Times New Roman"/>
          <w:sz w:val="28"/>
          <w:szCs w:val="28"/>
        </w:rPr>
        <w:t xml:space="preserve">. Пагубное влияние алкоголя, </w:t>
      </w:r>
      <w:r>
        <w:rPr>
          <w:rFonts w:ascii="Times New Roman" w:hAnsi="Times New Roman" w:cs="Times New Roman"/>
          <w:sz w:val="28"/>
          <w:szCs w:val="28"/>
        </w:rPr>
        <w:t xml:space="preserve">табакокурения</w:t>
      </w:r>
      <w:r>
        <w:rPr>
          <w:rFonts w:ascii="Times New Roman" w:hAnsi="Times New Roman" w:cs="Times New Roman"/>
          <w:sz w:val="28"/>
          <w:szCs w:val="28"/>
        </w:rPr>
        <w:t xml:space="preserve"> и наркотиков на организм человека, безопасное поведение дома, в школе, на улице.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техники и тактики игры.</w:t>
      </w:r>
      <w:r>
        <w:rPr>
          <w:rFonts w:ascii="Times New Roman" w:hAnsi="Times New Roman" w:cs="Times New Roman"/>
          <w:sz w:val="28"/>
          <w:szCs w:val="28"/>
        </w:rPr>
        <w:t xml:space="preserve"> Изучение базовых приемов игры настольного тенниса. Изучение технических приемов. Контроль нормативов по технико-тактической подготовке воспитанников.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Краткое описание содержания практических занятий по разделу.</w:t>
      </w:r>
      <w:r>
        <w:rPr>
          <w:rFonts w:ascii="Times New Roman" w:hAnsi="Times New Roman" w:cs="Times New Roman"/>
          <w:sz w:val="28"/>
          <w:szCs w:val="28"/>
        </w:rPr>
        <w:t xml:space="preserve"> Изучение хватки ракетки; стойки у стола; перемещения у стола. Набивание мяча на ракетке. Плоский удар, накат, </w:t>
      </w:r>
      <w:r>
        <w:rPr>
          <w:rFonts w:ascii="Times New Roman" w:hAnsi="Times New Roman" w:cs="Times New Roman"/>
          <w:sz w:val="28"/>
          <w:szCs w:val="28"/>
        </w:rPr>
        <w:t xml:space="preserve">кач</w:t>
      </w:r>
      <w:r>
        <w:rPr>
          <w:rFonts w:ascii="Times New Roman" w:hAnsi="Times New Roman" w:cs="Times New Roman"/>
          <w:sz w:val="28"/>
          <w:szCs w:val="28"/>
        </w:rPr>
        <w:t xml:space="preserve"> (срезка) в простых комбинациях («треугольник», «восьмерка»), атака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кача</w:t>
      </w:r>
      <w:r>
        <w:rPr>
          <w:rFonts w:ascii="Times New Roman" w:hAnsi="Times New Roman" w:cs="Times New Roman"/>
          <w:sz w:val="28"/>
          <w:szCs w:val="28"/>
        </w:rPr>
        <w:t xml:space="preserve"> (срезки), подача без вращения, с верхним и нижним вращением, игра «один – против всех». Основная задача практических занятий – освоение основных элементов игры.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обучения.</w:t>
      </w:r>
      <w:r>
        <w:rPr>
          <w:rFonts w:ascii="Times New Roman" w:hAnsi="Times New Roman" w:cs="Times New Roman"/>
          <w:sz w:val="28"/>
          <w:szCs w:val="28"/>
        </w:rPr>
        <w:t xml:space="preserve"> Соблюдение принципа последовательности в обучении - от простого к </w:t>
      </w:r>
      <w:r>
        <w:rPr>
          <w:rFonts w:ascii="Times New Roman" w:hAnsi="Times New Roman" w:cs="Times New Roman"/>
          <w:sz w:val="28"/>
          <w:szCs w:val="28"/>
        </w:rPr>
        <w:t xml:space="preserve">сложному</w:t>
      </w:r>
      <w:r>
        <w:rPr>
          <w:rFonts w:ascii="Times New Roman" w:hAnsi="Times New Roman" w:cs="Times New Roman"/>
          <w:sz w:val="28"/>
          <w:szCs w:val="28"/>
        </w:rPr>
        <w:t xml:space="preserve">. Всесторонность физической, морально- волевой, технико-тактической подготовки. Определение ошибок в технике занимающихся, проведение работы над исправлением ошибок.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правилами одиночных игр.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соревнованиях.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на соревнованиях районного и областного уровня.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Отработка технических приемов настольного тенниса.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Разминка перед занятием.</w:t>
      </w:r>
      <w:r>
        <w:rPr>
          <w:rFonts w:ascii="Times New Roman" w:hAnsi="Times New Roman" w:cs="Times New Roman"/>
          <w:sz w:val="28"/>
          <w:szCs w:val="28"/>
        </w:rPr>
        <w:t xml:space="preserve"> Занятия с универсальным силовым тренажером, свободная игра у стола, комплекс специальных физических упражнений. </w:t>
      </w:r>
      <w:r/>
    </w:p>
    <w:p>
      <w:pPr>
        <w:ind w:firstLine="851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нормативов физического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Проверка физического развития и потенциала воспитанников. Сдача нормативов по отжиманию, бегу на короткие дистанции, прыжкам с места в длину и высоту, прыжкам через скакалку, подтягиванию. Проводится 2 раза: вначале и в конце учебного года.</w:t>
      </w:r>
      <w:r/>
    </w:p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6" w:hanging="360"/>
        <w:tabs>
          <w:tab w:val="num" w:pos="736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  <w:tabs>
          <w:tab w:val="num" w:pos="1495" w:leader="none"/>
        </w:tabs>
      </w:pPr>
      <w:rPr>
        <w:b/>
      </w:rPr>
    </w:lvl>
    <w:lvl w:ilvl="1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18"/>
  </w:num>
  <w:num w:numId="27">
    <w:abstractNumId w:val="7"/>
  </w:num>
  <w:num w:numId="28">
    <w:abstractNumId w:val="45"/>
  </w:num>
  <w:num w:numId="29">
    <w:abstractNumId w:val="26"/>
  </w:num>
  <w:num w:numId="30">
    <w:abstractNumId w:val="30"/>
  </w:num>
  <w:num w:numId="31">
    <w:abstractNumId w:val="28"/>
  </w:num>
  <w:num w:numId="32">
    <w:abstractNumId w:val="39"/>
  </w:num>
  <w:num w:numId="33">
    <w:abstractNumId w:val="16"/>
  </w:num>
  <w:num w:numId="34">
    <w:abstractNumId w:val="20"/>
  </w:num>
  <w:num w:numId="35">
    <w:abstractNumId w:val="42"/>
  </w:num>
  <w:num w:numId="36">
    <w:abstractNumId w:val="24"/>
  </w:num>
  <w:num w:numId="37">
    <w:abstractNumId w:val="4"/>
  </w:num>
  <w:num w:numId="38">
    <w:abstractNumId w:val="34"/>
  </w:num>
  <w:num w:numId="39">
    <w:abstractNumId w:val="2"/>
  </w:num>
  <w:num w:numId="40">
    <w:abstractNumId w:val="32"/>
  </w:num>
  <w:num w:numId="41">
    <w:abstractNumId w:val="22"/>
  </w:num>
  <w:num w:numId="42">
    <w:abstractNumId w:val="17"/>
  </w:num>
  <w:num w:numId="43">
    <w:abstractNumId w:val="12"/>
  </w:num>
  <w:num w:numId="44">
    <w:abstractNumId w:val="14"/>
  </w:num>
  <w:num w:numId="45">
    <w:abstractNumId w:val="33"/>
  </w:num>
  <w:num w:numId="46">
    <w:abstractNumId w:val="10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3"/>
    <w:next w:val="903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basedOn w:val="904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903"/>
    <w:next w:val="9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basedOn w:val="904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basedOn w:val="904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basedOn w:val="904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basedOn w:val="904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basedOn w:val="904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basedOn w:val="904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basedOn w:val="904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basedOn w:val="904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Title"/>
    <w:basedOn w:val="903"/>
    <w:next w:val="90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4"/>
    <w:link w:val="746"/>
    <w:uiPriority w:val="10"/>
    <w:rPr>
      <w:sz w:val="48"/>
      <w:szCs w:val="48"/>
    </w:rPr>
  </w:style>
  <w:style w:type="paragraph" w:styleId="748">
    <w:name w:val="Subtitle"/>
    <w:basedOn w:val="903"/>
    <w:next w:val="903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4"/>
    <w:link w:val="748"/>
    <w:uiPriority w:val="11"/>
    <w:rPr>
      <w:sz w:val="24"/>
      <w:szCs w:val="24"/>
    </w:rPr>
  </w:style>
  <w:style w:type="paragraph" w:styleId="750">
    <w:name w:val="Quote"/>
    <w:basedOn w:val="903"/>
    <w:next w:val="903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3"/>
    <w:next w:val="903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3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basedOn w:val="904"/>
    <w:link w:val="754"/>
    <w:uiPriority w:val="99"/>
  </w:style>
  <w:style w:type="paragraph" w:styleId="756">
    <w:name w:val="Footer"/>
    <w:basedOn w:val="903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basedOn w:val="904"/>
    <w:link w:val="756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4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4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qFormat/>
    <w:rPr>
      <w:rFonts w:eastAsiaTheme="minorEastAsia"/>
      <w:lang w:eastAsia="ru-RU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paragraph" w:styleId="907">
    <w:name w:val="List Paragraph"/>
    <w:basedOn w:val="903"/>
    <w:uiPriority w:val="34"/>
    <w:qFormat/>
    <w:pPr>
      <w:contextualSpacing/>
      <w:ind w:left="720"/>
    </w:pPr>
  </w:style>
  <w:style w:type="table" w:styleId="908">
    <w:name w:val="Table Grid"/>
    <w:basedOn w:val="905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9">
    <w:name w:val="Normal (Web)"/>
    <w:basedOn w:val="90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910" w:customStyle="1">
    <w:name w:val="apple-tab-span"/>
    <w:basedOn w:val="904"/>
  </w:style>
  <w:style w:type="paragraph" w:styleId="911">
    <w:name w:val="No Spacing"/>
    <w:link w:val="912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character" w:styleId="912" w:customStyle="1">
    <w:name w:val="Без интервала Знак"/>
    <w:link w:val="911"/>
    <w:uiPriority w:val="1"/>
    <w:rPr>
      <w:rFonts w:ascii="Calibri" w:hAnsi="Calibri" w:cs="Times New Roman" w:eastAsia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4</cp:revision>
  <dcterms:created xsi:type="dcterms:W3CDTF">2022-12-05T14:45:00Z</dcterms:created>
  <dcterms:modified xsi:type="dcterms:W3CDTF">2023-09-22T10:44:30Z</dcterms:modified>
</cp:coreProperties>
</file>